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Schedule 3 (Charges)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N/A</w:t>
      </w:r>
      <w:r w:rsidDel="00000000" w:rsidR="00000000" w:rsidRPr="00000000">
        <w:rPr>
          <w:rtl w:val="0"/>
        </w:rPr>
      </w:r>
    </w:p>
    <w:tbl>
      <w:tblPr>
        <w:tblStyle w:val="Table1"/>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26"/>
        <w:tblGridChange w:id="0">
          <w:tblGrid>
            <w:gridCol w:w="9026"/>
          </w:tblGrid>
        </w:tblGridChange>
      </w:tblGrid>
    </w:tbl>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tabs>
          <w:tab w:val="left" w:leader="none" w:pos="0"/>
        </w:tabs>
        <w:ind w:left="36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Charges are calculated </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this Schedule;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this Schedule and in particular shall only be subject to Indexation where specifically stated in the Award Form; and]</w:t>
      </w:r>
    </w:p>
    <w:p w:rsidR="00000000" w:rsidDel="00000000" w:rsidP="00000000" w:rsidRDefault="00000000" w:rsidRPr="00000000" w14:paraId="000000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Contract must be agreed between the Supplier and the Buyer and implemented using the procedure set out in this Schedule.</w:t>
      </w:r>
    </w:p>
    <w:p w:rsidR="00000000" w:rsidDel="00000000" w:rsidP="00000000" w:rsidRDefault="00000000" w:rsidRPr="00000000" w14:paraId="0000000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pricing mechanisms</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Charges in the Contract.</w:t>
      </w:r>
    </w:p>
    <w:bookmarkStart w:colFirst="0" w:colLast="0" w:name="bookmark=id.2et92p0" w:id="3"/>
    <w:bookmarkEnd w:id="3"/>
    <w:p w:rsidR="00000000" w:rsidDel="00000000" w:rsidP="00000000" w:rsidRDefault="00000000" w:rsidRPr="00000000" w14:paraId="0000000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4"/>
      <w:bookmarkEnd w:id="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included in the Charges</w:t>
      </w:r>
    </w:p>
    <w:p w:rsidR="00000000" w:rsidDel="00000000" w:rsidP="00000000" w:rsidRDefault="00000000" w:rsidRPr="00000000" w14:paraId="0000000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5 below, or otherwise stated in the Award Form] the Charges shall include all costs and expenses relating to the provision of Deliverables. No further amounts shall be payable in respect of matters such as:</w:t>
      </w:r>
    </w:p>
    <w:p w:rsidR="00000000" w:rsidDel="00000000" w:rsidP="00000000" w:rsidRDefault="00000000" w:rsidRPr="00000000" w14:paraId="0000000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the Contract.</w:t>
      </w:r>
    </w:p>
    <w:p w:rsidR="00000000" w:rsidDel="00000000" w:rsidP="00000000" w:rsidRDefault="00000000" w:rsidRPr="00000000" w14:paraId="0000000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Charges</w:t>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will be fixed for the first year following the Start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Charges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Buyer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notice requesting an increase shall include:</w:t>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list of the Charges to be reviewed;</w:t>
      </w:r>
    </w:p>
    <w:p w:rsidR="00000000" w:rsidDel="00000000" w:rsidP="00000000" w:rsidRDefault="00000000" w:rsidRPr="00000000" w14:paraId="00000014">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for each of the Charges under review, written evidence of the justification for the requested increase including:</w:t>
      </w:r>
    </w:p>
    <w:p w:rsidR="00000000" w:rsidDel="00000000" w:rsidP="00000000" w:rsidRDefault="00000000" w:rsidRPr="00000000" w14:paraId="0000001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1"/>
          <w:i w:val="1"/>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breakdown of the profit and cost components that comprise the relevant part of the Charges; </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14" w:firstLine="0"/>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details of the movement in the different identified cost components of the relevant Charge;</w:t>
      </w:r>
    </w:p>
    <w:p w:rsidR="00000000" w:rsidDel="00000000" w:rsidP="00000000" w:rsidRDefault="00000000" w:rsidRPr="00000000" w14:paraId="0000001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reasons for the movement in the different identified cost components of the relevant Charge;</w:t>
      </w:r>
    </w:p>
    <w:p w:rsidR="00000000" w:rsidDel="00000000" w:rsidP="00000000" w:rsidRDefault="00000000" w:rsidRPr="00000000" w14:paraId="0000001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Supplier’s profit component of the relevant Charge is no greater than that applying to Charges using the same pricing mechanism as at the Start Date.</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10" w:firstLine="0"/>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bookmarkStart w:colFirst="0" w:colLast="0" w:name="_heading=h.2s8eyo1" w:id="7"/>
      <w:bookmarkEnd w:id="7"/>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consider each request for a price increase.  The Buyer may grant Approval to an increase at its sole discretion.</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bookmarkStart w:colFirst="0" w:colLast="0" w:name="_heading=h.17dp8vu" w:id="8"/>
      <w:bookmarkEnd w:id="8"/>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Approval granted by the Buyer pursuant to Paragraph </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.4 shall be on the condition that the change to the Charges will not result in the Supplier Profit Margin exceeding the Maximum Permitted Profit Margin.</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the Buyer approves an increase then it will be implemented from the first (1st) Working Day following the relevant Review Date or such later date as the Buyer may determine at its sole discretion and Annex 1 shall be updated accordingly.</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events that allow the Supplier to change the Charges</w:t>
      </w:r>
    </w:p>
    <w:p w:rsidR="00000000" w:rsidDel="00000000" w:rsidP="00000000" w:rsidRDefault="00000000" w:rsidRPr="00000000" w14:paraId="0000002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can also be varied (and Annex 1 will be updated accordingly) due to:</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Clauses 28.6 to 28.8;</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Charges; </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the Allowable Assumptions in accordance with Paragraph 9.</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07" w:right="0" w:hanging="547"/>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vertAlign w:val="baseline"/>
        </w:rPr>
      </w:pPr>
      <w:bookmarkStart w:colFirst="0" w:colLast="0" w:name="_heading=h.26in1rg" w:id="9"/>
      <w:bookmarkEnd w:id="9"/>
      <w:r w:rsidDel="00000000" w:rsidR="00000000" w:rsidRPr="00000000">
        <w:rPr>
          <w:rFonts w:ascii="Arial" w:cs="Arial" w:eastAsia="Arial" w:hAnsi="Arial"/>
          <w:b w:val="1"/>
          <w:i w:val="0"/>
          <w:smallCaps w:val="0"/>
          <w:strike w:val="0"/>
          <w:color w:val="000000"/>
          <w:sz w:val="24"/>
          <w:szCs w:val="24"/>
          <w:u w:val="none"/>
          <w:vertAlign w:val="baseline"/>
          <w:rtl w:val="0"/>
        </w:rPr>
        <w:t xml:space="preserve"> </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the Charges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Charges shall not be indexed during the first  year following the Start Date.  </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Annex 1 states a Charge is subject to Indexation then it will be indexed on the date which is one year after the Start Date to reflect the percentage change in the CPI since the Start Date.  They shall be indexed on each following yearly anniversary to reflect the percentage change in the CPI since the previous change.</w:t>
      </w:r>
    </w:p>
    <w:p w:rsidR="00000000" w:rsidDel="00000000" w:rsidP="00000000" w:rsidRDefault="00000000" w:rsidRPr="00000000" w14:paraId="0000002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CPI Index:</w:t>
      </w:r>
    </w:p>
    <w:p w:rsidR="00000000" w:rsidDel="00000000" w:rsidP="00000000" w:rsidRDefault="00000000" w:rsidRPr="00000000" w14:paraId="0000002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used to carry out an indexation calculation is updated (for example due to it being provisional) then the indexation calculation shall also be updated unless the Buyer and the Supplier agree otherwise; </w:t>
      </w:r>
    </w:p>
    <w:p w:rsidR="00000000" w:rsidDel="00000000" w:rsidP="00000000" w:rsidRDefault="00000000" w:rsidRPr="00000000" w14:paraId="000000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 longer published, the Buyer and the Supplier shall agree a fair and reasonable replacement that will have substantially the same effect.]</w:t>
      </w:r>
    </w:p>
    <w:p w:rsidR="00000000" w:rsidDel="00000000" w:rsidP="00000000" w:rsidRDefault="00000000" w:rsidRPr="00000000" w14:paraId="0000002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vertAlign w:val="baseline"/>
        </w:rPr>
      </w:pPr>
      <w:bookmarkStart w:colFirst="0" w:colLast="0" w:name="_heading=h.lnxbz9" w:id="10"/>
      <w:bookmarkEnd w:id="10"/>
      <w:r w:rsidDel="00000000" w:rsidR="00000000" w:rsidRPr="00000000">
        <w:rPr>
          <w:rFonts w:ascii="Arial" w:cs="Arial" w:eastAsia="Arial" w:hAnsi="Arial"/>
          <w:b w:val="1"/>
          <w:i w:val="0"/>
          <w:smallCaps w:val="0"/>
          <w:strike w:val="0"/>
          <w:color w:val="000000"/>
          <w:sz w:val="24"/>
          <w:szCs w:val="24"/>
          <w:u w:val="none"/>
          <w:vertAlign w:val="baseline"/>
          <w:rtl w:val="0"/>
        </w:rPr>
        <w:t xml:space="preserve">When you will be reimbursed for travel and subsistence</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Expenses shall only be recoverable where:</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Time and Materials pricing mechanism is used; and</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Award Form states that recovery is permitted; and</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they are Reimbursable Expenses and are supported by Supporting Documentation.</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bookmarkStart w:colFirst="0" w:colLast="0" w:name="_heading=h.3dy6vkm" w:id="11"/>
      <w:bookmarkEnd w:id="11"/>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provide a copy of their current expenses policy to the Supplier. </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tabs>
          <w:tab w:val="left" w:leader="none" w:pos="1985"/>
          <w:tab w:val="left" w:leader="none" w:pos="2127"/>
        </w:tabs>
        <w:spacing w:after="280" w:before="280"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5"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b w:val="1"/>
          <w:sz w:val="36"/>
          <w:szCs w:val="36"/>
        </w:rPr>
      </w:pPr>
      <w:bookmarkStart w:colFirst="0" w:colLast="0" w:name="_heading=h.1t3h5sf" w:id="12"/>
      <w:bookmarkEnd w:id="12"/>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1: Time and Materials</w:t>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its Subcontractor) shall not be entitled to include any uplift for risks or contingencies within its day rates</w:t>
      </w:r>
    </w:p>
    <w:p w:rsidR="00000000" w:rsidDel="00000000" w:rsidP="00000000" w:rsidRDefault="00000000" w:rsidRPr="00000000" w14:paraId="00000038">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i w:val="1"/>
          <w:color w:val="000000"/>
          <w:sz w:val="24"/>
          <w:szCs w:val="24"/>
          <w:rtl w:val="0"/>
        </w:rPr>
        <w:t xml:space="preserve">The rates below shall [not] be subject to variation by way of Indexation</w:t>
      </w:r>
      <w:r w:rsidDel="00000000" w:rsidR="00000000" w:rsidRPr="00000000">
        <w:rPr>
          <w:rtl w:val="0"/>
        </w:rPr>
      </w:r>
    </w:p>
    <w:tbl>
      <w:tblPr>
        <w:tblStyle w:val="Table2"/>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450"/>
        <w:gridCol w:w="4566"/>
        <w:tblGridChange w:id="0">
          <w:tblGrid>
            <w:gridCol w:w="4450"/>
            <w:gridCol w:w="4566"/>
          </w:tblGrid>
        </w:tblGridChange>
      </w:tblGrid>
      <w:tr>
        <w:trPr>
          <w:cantSplit w:val="0"/>
          <w:tblHeader w:val="0"/>
        </w:trPr>
        <w:tc>
          <w:tcPr>
            <w:shd w:fill="548dd4" w:val="clear"/>
          </w:tcPr>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 Grade</w:t>
            </w:r>
          </w:p>
        </w:tc>
        <w:tc>
          <w:tcPr>
            <w:shd w:fill="548dd4" w:val="clear"/>
          </w:tcPr>
          <w:p w:rsidR="00000000" w:rsidDel="00000000" w:rsidP="00000000" w:rsidRDefault="00000000" w:rsidRPr="00000000" w14:paraId="0000003A">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Day Rate (£)</w:t>
            </w:r>
          </w:p>
        </w:tc>
      </w:tr>
      <w:tr>
        <w:trPr>
          <w:cantSplit w:val="0"/>
          <w:tblHeader w:val="0"/>
        </w:trPr>
        <w:tc>
          <w:tcPr/>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2: Fixed Prices</w:t>
      </w:r>
    </w:p>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rates below shall [not] be subject to variation by way of Indexation</w:t>
      </w:r>
      <w:r w:rsidDel="00000000" w:rsidR="00000000" w:rsidRPr="00000000">
        <w:rPr>
          <w:rtl w:val="0"/>
        </w:rPr>
      </w:r>
    </w:p>
    <w:tbl>
      <w:tblPr>
        <w:tblStyle w:val="Table3"/>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41">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Type of Charge</w:t>
            </w:r>
          </w:p>
        </w:tc>
        <w:tc>
          <w:tcPr>
            <w:shd w:fill="548dd4" w:val="clear"/>
          </w:tcPr>
          <w:p w:rsidR="00000000" w:rsidDel="00000000" w:rsidP="00000000" w:rsidRDefault="00000000" w:rsidRPr="00000000" w14:paraId="00000042">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Charge (£)</w:t>
            </w:r>
          </w:p>
        </w:tc>
      </w:tr>
      <w:tr>
        <w:trPr>
          <w:cantSplit w:val="0"/>
          <w:tblHeader w:val="0"/>
        </w:trPr>
        <w:tc>
          <w:tcPr/>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M3]</w:t>
            </w:r>
          </w:p>
        </w:tc>
        <w:tc>
          <w:tcPr>
            <w:shd w:fill="ffffff" w:val="clear"/>
          </w:tcPr>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SC3]</w:t>
            </w:r>
          </w:p>
          <w:p w:rsidR="00000000" w:rsidDel="00000000" w:rsidP="00000000" w:rsidRDefault="00000000" w:rsidRPr="00000000" w14:paraId="00000046">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7">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8">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9">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A">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B">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C">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D">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E">
            <w:pPr>
              <w:jc w:val="center"/>
              <w:rPr>
                <w:rFonts w:ascii="Arial" w:cs="Arial" w:eastAsia="Arial" w:hAnsi="Arial"/>
                <w:sz w:val="24"/>
                <w:szCs w:val="24"/>
                <w:highlight w:val="yellow"/>
              </w:rPr>
            </w:pPr>
            <w:r w:rsidDel="00000000" w:rsidR="00000000" w:rsidRPr="00000000">
              <w:rPr>
                <w:rtl w:val="0"/>
              </w:rPr>
            </w:r>
          </w:p>
        </w:tc>
        <w:tc>
          <w:tcPr>
            <w:shd w:fill="ffffff"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bookmarkStart w:colFirst="0" w:colLast="0" w:name="_heading=h.4d34og8" w:id="13"/>
      <w:bookmarkEnd w:id="13"/>
      <w:r w:rsidDel="00000000" w:rsidR="00000000" w:rsidRPr="00000000">
        <w:rPr>
          <w:rFonts w:ascii="Arial" w:cs="Arial" w:eastAsia="Arial" w:hAnsi="Arial"/>
          <w:b w:val="1"/>
          <w:color w:val="000000"/>
          <w:sz w:val="24"/>
          <w:szCs w:val="24"/>
          <w:rtl w:val="0"/>
        </w:rPr>
        <w:t xml:space="preserve">Table 3: Volume Based Prices</w:t>
      </w:r>
    </w:p>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rates below shall [not] be subject to variation by way of Indexation</w:t>
      </w:r>
      <w:r w:rsidDel="00000000" w:rsidR="00000000" w:rsidRPr="00000000">
        <w:rPr>
          <w:rtl w:val="0"/>
        </w:rPr>
      </w:r>
    </w:p>
    <w:tbl>
      <w:tblPr>
        <w:tblStyle w:val="Table4"/>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rPr>
          <w:cantSplit w:val="0"/>
          <w:tblHeader w:val="0"/>
        </w:trPr>
        <w:tc>
          <w:tcPr>
            <w:shd w:fill="548dd4"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 Number</w:t>
            </w:r>
          </w:p>
        </w:tc>
        <w:tc>
          <w:tcPr>
            <w:shd w:fill="548dd4"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Unit</w:t>
            </w:r>
          </w:p>
        </w:tc>
        <w:tc>
          <w:tcPr>
            <w:shd w:fill="548dd4" w:val="clear"/>
          </w:tcPr>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Number of units per Service Period</w:t>
            </w:r>
          </w:p>
        </w:tc>
        <w:tc>
          <w:tcPr>
            <w:shd w:fill="548dd4" w:val="clear"/>
          </w:tcPr>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 per unit (£)</w:t>
            </w:r>
          </w:p>
        </w:tc>
      </w:tr>
      <w:tr>
        <w:trPr>
          <w:cantSplit w:val="0"/>
          <w:tblHeader w:val="0"/>
        </w:trPr>
        <w:tc>
          <w:tcPr>
            <w:vMerge w:val="restart"/>
          </w:tcPr>
          <w:p w:rsidR="00000000" w:rsidDel="00000000" w:rsidP="00000000" w:rsidRDefault="00000000" w:rsidRPr="00000000" w14:paraId="00000056">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SC1]</w:t>
            </w:r>
          </w:p>
        </w:tc>
        <w:tc>
          <w:tcPr>
            <w:vMerge w:val="restart"/>
          </w:tcPr>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8">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700" w:hRule="atLeast"/>
          <w:tblHeader w:val="0"/>
        </w:trPr>
        <w:tc>
          <w:tcPr>
            <w:vMerge w:val="continue"/>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C">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vMerge w:val="restart"/>
          </w:tcPr>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SC2]</w:t>
            </w:r>
          </w:p>
        </w:tc>
        <w:tc>
          <w:tcPr>
            <w:vMerge w:val="restart"/>
          </w:tcPr>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vMerge w:val="continue"/>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bl>
    <w:p w:rsidR="00000000" w:rsidDel="00000000" w:rsidP="00000000" w:rsidRDefault="00000000" w:rsidRPr="00000000" w14:paraId="0000006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800" w:top="1440" w:left="1440" w:right="1440" w:header="706" w:footer="706"/>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6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rPr>
          <w:rFonts w:ascii="Arial" w:cs="Arial" w:eastAsia="Arial" w:hAnsi="Arial"/>
          <w:sz w:val="24"/>
          <w:szCs w:val="24"/>
        </w:rPr>
      </w:pPr>
      <w:r w:rsidDel="00000000" w:rsidR="00000000" w:rsidRPr="00000000">
        <w:rPr>
          <w:rtl w:val="0"/>
        </w:rPr>
      </w:r>
    </w:p>
    <w:sectPr>
      <w:footerReference r:id="rId11" w:type="default"/>
      <w:type w:val="nextPage"/>
      <w:pgSz w:h="11906" w:w="16838" w:orient="landscape"/>
      <w:pgMar w:bottom="1440" w:top="1440" w:left="1440" w:right="1888" w:header="709" w:footer="709"/>
      <w:pgNumType w:start="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2">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Mid-tier contract – Version 1.1</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Mid-tier contract – Version 1.1</w:t>
    </w:r>
  </w:p>
  <w:p w:rsidR="00000000" w:rsidDel="00000000" w:rsidP="00000000" w:rsidRDefault="00000000" w:rsidRPr="00000000" w14:paraId="00000078">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color w:val="bfbfbf"/>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(Charges)</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3 (Charges)</w:t>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5"/>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3"/>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5"/>
      </w:pPr>
      <w:rPr>
        <w:b w:val="0"/>
        <w:i w:val="0"/>
        <w:smallCaps w:val="0"/>
        <w:strike w:val="0"/>
        <w:color w:val="000000"/>
        <w:sz w:val="24"/>
        <w:szCs w:val="24"/>
        <w:u w:val="none"/>
        <w:vertAlign w:val="baseline"/>
      </w:rPr>
    </w:lvl>
    <w:lvl w:ilvl="3">
      <w:start w:val="1"/>
      <w:numFmt w:val="lowerLetter"/>
      <w:lvlText w:val="%4)"/>
      <w:lvlJc w:val="left"/>
      <w:pPr>
        <w:ind w:left="2606" w:hanging="848.9999999999993"/>
      </w:pPr>
      <w:rPr>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qFormat w:val="1"/>
    <w:pPr>
      <w:keepNext w:val="1"/>
      <w:keepLines w:val="1"/>
      <w:spacing w:after="120" w:before="480"/>
      <w:outlineLvl w:val="0"/>
    </w:pPr>
    <w:rPr>
      <w:b w:val="1"/>
      <w:sz w:val="48"/>
      <w:szCs w:val="48"/>
    </w:rPr>
  </w:style>
  <w:style w:type="paragraph" w:styleId="Heading2">
    <w:name w:val="heading 2"/>
    <w:basedOn w:val="Normal"/>
    <w:next w:val="Normal"/>
    <w:unhideWhenUsed w:val="1"/>
    <w:qFormat w:val="1"/>
    <w:pPr>
      <w:keepNext w:val="1"/>
      <w:keepLines w:val="1"/>
      <w:spacing w:after="80" w:before="360"/>
      <w:outlineLvl w:val="1"/>
    </w:pPr>
    <w:rPr>
      <w:b w:val="1"/>
      <w:sz w:val="36"/>
      <w:szCs w:val="36"/>
    </w:rPr>
  </w:style>
  <w:style w:type="paragraph" w:styleId="Heading3">
    <w:name w:val="heading 3"/>
    <w:basedOn w:val="Normal"/>
    <w:next w:val="Normal"/>
    <w:unhideWhenUsed w:val="1"/>
    <w:qFormat w:val="1"/>
    <w:pPr>
      <w:keepNext w:val="1"/>
      <w:keepLines w:val="1"/>
      <w:spacing w:after="80" w:before="280"/>
      <w:outlineLvl w:val="2"/>
    </w:pPr>
    <w:rPr>
      <w:b w:val="1"/>
      <w:sz w:val="28"/>
      <w:szCs w:val="28"/>
    </w:rPr>
  </w:style>
  <w:style w:type="paragraph" w:styleId="Heading4">
    <w:name w:val="heading 4"/>
    <w:basedOn w:val="Normal"/>
    <w:next w:val="Normal"/>
    <w:unhideWhenUsed w:val="1"/>
    <w:qFormat w:val="1"/>
    <w:pPr>
      <w:keepNext w:val="1"/>
      <w:keepLines w:val="1"/>
      <w:spacing w:after="40" w:before="240"/>
      <w:outlineLvl w:val="3"/>
    </w:pPr>
    <w:rPr>
      <w:b w:val="1"/>
      <w:sz w:val="24"/>
      <w:szCs w:val="24"/>
    </w:rPr>
  </w:style>
  <w:style w:type="paragraph" w:styleId="Heading5">
    <w:name w:val="heading 5"/>
    <w:basedOn w:val="Normal"/>
    <w:next w:val="Normal"/>
    <w:unhideWhenUsed w:val="1"/>
    <w:qFormat w:val="1"/>
    <w:pPr>
      <w:keepNext w:val="1"/>
      <w:keepLines w:val="1"/>
      <w:spacing w:after="40" w:before="220"/>
      <w:outlineLvl w:val="4"/>
    </w:pPr>
    <w:rPr>
      <w:b w:val="1"/>
    </w:rPr>
  </w:style>
  <w:style w:type="paragraph" w:styleId="Heading6">
    <w:name w:val="heading 6"/>
    <w:basedOn w:val="Normal"/>
    <w:next w:val="Normal"/>
    <w:unhideWhenUsed w:val="1"/>
    <w:qFormat w:val="1"/>
    <w:pPr>
      <w:keepNext w:val="1"/>
      <w:keepLines w:val="1"/>
      <w:spacing w:after="40" w:before="200"/>
      <w:outlineLvl w:val="5"/>
    </w:pPr>
    <w:rPr>
      <w:b w:val="1"/>
      <w:sz w:val="20"/>
      <w:szCs w:val="20"/>
    </w:rPr>
  </w:style>
  <w:style w:type="paragraph" w:styleId="Heading7">
    <w:name w:val="heading 7"/>
    <w:basedOn w:val="Normal"/>
    <w:link w:val="Heading7Char"/>
    <w:qFormat w:val="1"/>
    <w:rsid w:val="005D0B6B"/>
    <w:pPr>
      <w:tabs>
        <w:tab w:val="num" w:pos="4320"/>
      </w:tabs>
      <w:adjustRightInd w:val="0"/>
      <w:spacing w:after="240" w:line="240" w:lineRule="auto"/>
      <w:ind w:left="4320" w:hanging="720"/>
      <w:jc w:val="both"/>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rsid w:val="005D0B6B"/>
    <w:pPr>
      <w:tabs>
        <w:tab w:val="num" w:pos="4320"/>
      </w:tabs>
      <w:adjustRightInd w:val="0"/>
      <w:spacing w:after="240" w:line="240" w:lineRule="auto"/>
      <w:ind w:left="4320" w:hanging="720"/>
      <w:jc w:val="both"/>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rsid w:val="005D0B6B"/>
    <w:pPr>
      <w:tabs>
        <w:tab w:val="num" w:pos="4320"/>
      </w:tabs>
      <w:adjustRightInd w:val="0"/>
      <w:spacing w:after="240" w:line="240" w:lineRule="auto"/>
      <w:ind w:left="4320" w:hanging="720"/>
      <w:jc w:val="both"/>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rsid w:val="008A6D7D"/>
    <w:pPr>
      <w:keepNext w:val="1"/>
      <w:numPr>
        <w:numId w:val="1"/>
      </w:numPr>
      <w:tabs>
        <w:tab w:val="left" w:pos="0"/>
      </w:tabs>
      <w:adjustRightInd w:val="0"/>
      <w:spacing w:after="240" w:before="120" w:line="240" w:lineRule="auto"/>
      <w:outlineLvl w:val="1"/>
    </w:pPr>
    <w:rPr>
      <w:rFonts w:ascii="Arial Bold" w:cs="Arial" w:eastAsia="STZhongsong" w:hAnsi="Arial Bold"/>
      <w:b w:val="1"/>
      <w:sz w:val="24"/>
      <w:lang w:eastAsia="zh-CN"/>
    </w:rPr>
  </w:style>
  <w:style w:type="paragraph" w:styleId="GPSL2numberedclause" w:customStyle="1">
    <w:name w:val="GPS L2 numbered clause"/>
    <w:basedOn w:val="Normal"/>
    <w:link w:val="GPSL2numberedclauseChar1"/>
    <w:qFormat w:val="1"/>
    <w:rsid w:val="008A6D7D"/>
    <w:pPr>
      <w:numPr>
        <w:ilvl w:val="1"/>
        <w:numId w:val="1"/>
      </w:numPr>
      <w:tabs>
        <w:tab w:val="left" w:pos="1134"/>
      </w:tabs>
      <w:adjustRightInd w:val="0"/>
      <w:spacing w:after="120" w:before="120" w:line="240" w:lineRule="auto"/>
    </w:pPr>
    <w:rPr>
      <w:rFonts w:ascii="Arial" w:cs="Arial" w:eastAsia="Times New Roman" w:hAnsi="Arial"/>
      <w:sz w:val="24"/>
      <w:lang w:eastAsia="zh-CN"/>
    </w:rPr>
  </w:style>
  <w:style w:type="paragraph" w:styleId="GPSL3numberedclause" w:customStyle="1">
    <w:name w:val="GPS L3 numbered clause"/>
    <w:basedOn w:val="GPSL2numberedclause"/>
    <w:link w:val="GPSL3numberedclauseChar"/>
    <w:qFormat w:val="1"/>
    <w:rsid w:val="008A6D7D"/>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8A6D7D"/>
    <w:pPr>
      <w:numPr>
        <w:ilvl w:val="3"/>
      </w:numPr>
      <w:tabs>
        <w:tab w:val="clear" w:pos="1985"/>
        <w:tab w:val="clear" w:pos="2127"/>
      </w:tabs>
      <w:ind w:left="2607" w:hanging="850"/>
    </w:pPr>
    <w:rPr>
      <w:szCs w:val="20"/>
    </w:rPr>
  </w:style>
  <w:style w:type="character" w:styleId="GPSL2numberedclauseChar1" w:customStyle="1">
    <w:name w:val="GPS L2 numbered clause Char1"/>
    <w:link w:val="GPSL2numberedclause"/>
    <w:rsid w:val="008A6D7D"/>
    <w:rPr>
      <w:rFonts w:ascii="Arial" w:cs="Arial" w:eastAsia="Times New Roman" w:hAnsi="Arial"/>
      <w:sz w:val="24"/>
      <w:lang w:eastAsia="zh-CN"/>
    </w:rPr>
  </w:style>
  <w:style w:type="character" w:styleId="GPSL3numberedclauseChar" w:customStyle="1">
    <w:name w:val="GPS L3 numbered clause Char"/>
    <w:link w:val="GPSL3numberedclause"/>
    <w:rsid w:val="008A6D7D"/>
    <w:rPr>
      <w:rFonts w:ascii="Arial" w:cs="Arial" w:eastAsia="Times New Roman" w:hAnsi="Arial"/>
      <w:sz w:val="24"/>
      <w:lang w:eastAsia="zh-CN"/>
    </w:rPr>
  </w:style>
  <w:style w:type="character" w:styleId="GPSL4numberedclauseChar" w:customStyle="1">
    <w:name w:val="GPS L4 numbered clause Char"/>
    <w:link w:val="GPSL4numberedclause"/>
    <w:rsid w:val="008A6D7D"/>
    <w:rPr>
      <w:rFonts w:ascii="Arial" w:cs="Arial" w:eastAsia="Times New Roman" w:hAnsi="Arial"/>
      <w:sz w:val="24"/>
      <w:szCs w:val="20"/>
      <w:lang w:eastAsia="zh-CN"/>
    </w:rPr>
  </w:style>
  <w:style w:type="paragraph" w:styleId="GPSL5numberedclause" w:customStyle="1">
    <w:name w:val="GPS L5 numbered clause"/>
    <w:basedOn w:val="GPSL4numberedclause"/>
    <w:qFormat w:val="1"/>
    <w:pPr>
      <w:numPr>
        <w:ilvl w:val="4"/>
        <w:numId w:val="0"/>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uiPriority w:val="99"/>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outlineLvl w:val="9"/>
    </w:pPr>
    <w:rPr>
      <w:rFonts w:ascii="Arial" w:hAnsi="Arial"/>
      <w:caps w:val="1"/>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qFormat w:val="1"/>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character" w:styleId="Heading7Char" w:customStyle="1">
    <w:name w:val="Heading 7 Char"/>
    <w:basedOn w:val="DefaultParagraphFont"/>
    <w:link w:val="Heading7"/>
    <w:rsid w:val="005D0B6B"/>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sid w:val="005D0B6B"/>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sid w:val="005D0B6B"/>
    <w:rPr>
      <w:rFonts w:ascii="Times New Roman" w:cs="Times New Roman" w:eastAsia="STZhongsong" w:hAnsi="Times New Roman"/>
      <w:szCs w:val="20"/>
      <w:lang w:eastAsia="zh-CN"/>
    </w:rPr>
  </w:style>
  <w:style w:type="paragraph" w:styleId="Table-Text" w:customStyle="1">
    <w:name w:val="Table - Text"/>
    <w:basedOn w:val="Normal"/>
    <w:qFormat w:val="1"/>
    <w:rsid w:val="00BC714D"/>
    <w:pPr>
      <w:adjustRightInd w:val="0"/>
      <w:spacing w:after="120" w:before="120" w:line="240" w:lineRule="auto"/>
    </w:pPr>
    <w:rPr>
      <w:rFonts w:ascii="Times New Roman" w:cs="Times New Roman" w:eastAsia="STZhongsong" w:hAnsi="Times New Roman"/>
      <w:szCs w:val="20"/>
      <w:lang w:eastAsia="zh-CN"/>
    </w:rPr>
  </w:style>
  <w:style w:type="paragraph" w:styleId="GPSL1Numbered" w:customStyle="1">
    <w:name w:val="GPS L1 Numbered"/>
    <w:basedOn w:val="Normal"/>
    <w:rsid w:val="00441AD6"/>
    <w:pPr>
      <w:keepNext w:val="1"/>
      <w:overflowPunct w:val="0"/>
      <w:autoSpaceDE w:val="0"/>
      <w:autoSpaceDN w:val="0"/>
      <w:adjustRightInd w:val="0"/>
      <w:spacing w:after="240" w:before="120" w:line="240" w:lineRule="auto"/>
      <w:ind w:left="360" w:hanging="360"/>
      <w:textAlignment w:val="baseline"/>
    </w:pPr>
    <w:rPr>
      <w:rFonts w:cs="Arial" w:eastAsia="Times New Roman" w:asciiTheme="minorBidi" w:hAnsiTheme="minorBidi"/>
      <w:sz w:val="24"/>
      <w:lang w:eastAsia="en-US"/>
    </w:rPr>
  </w:style>
  <w:style w:type="paragraph" w:styleId="GPSL3NUMBERED" w:customStyle="1">
    <w:name w:val="GPS L3 NUMBERED"/>
    <w:basedOn w:val="Normal"/>
    <w:rsid w:val="00441AD6"/>
    <w:pPr>
      <w:tabs>
        <w:tab w:val="num" w:pos="1757"/>
      </w:tabs>
      <w:overflowPunct w:val="0"/>
      <w:autoSpaceDE w:val="0"/>
      <w:autoSpaceDN w:val="0"/>
      <w:adjustRightInd w:val="0"/>
      <w:spacing w:after="240" w:line="240" w:lineRule="auto"/>
      <w:ind w:left="1757" w:hanging="850"/>
      <w:textAlignment w:val="baseline"/>
    </w:pPr>
    <w:rPr>
      <w:rFonts w:cs="Arial" w:eastAsia="Times New Roman" w:asciiTheme="minorBidi" w:hAnsiTheme="minorBidi"/>
      <w:sz w:val="24"/>
      <w:lang w:eastAsia="en-US"/>
    </w:rPr>
  </w:style>
  <w:style w:type="paragraph" w:styleId="GPSL4numbered" w:customStyle="1">
    <w:name w:val="GPS L4 numbered"/>
    <w:basedOn w:val="Normal"/>
    <w:rsid w:val="00441AD6"/>
    <w:pPr>
      <w:tabs>
        <w:tab w:val="num" w:pos="2606"/>
      </w:tabs>
      <w:overflowPunct w:val="0"/>
      <w:autoSpaceDE w:val="0"/>
      <w:autoSpaceDN w:val="0"/>
      <w:adjustRightInd w:val="0"/>
      <w:spacing w:after="240" w:line="240" w:lineRule="auto"/>
      <w:ind w:left="2606" w:hanging="849"/>
      <w:textAlignment w:val="baseline"/>
    </w:pPr>
    <w:rPr>
      <w:rFonts w:cs="Arial" w:eastAsia="Times New Roman" w:asciiTheme="minorBidi" w:hAnsiTheme="minorBidi"/>
      <w:sz w:val="24"/>
      <w:lang w:eastAsia="en-US"/>
    </w:rPr>
  </w:style>
  <w:style w:type="paragraph" w:styleId="GPSL5NUMBERED" w:customStyle="1">
    <w:name w:val="GPS L5 NUMBERED"/>
    <w:basedOn w:val="Normal"/>
    <w:rsid w:val="00441AD6"/>
    <w:pPr>
      <w:overflowPunct w:val="0"/>
      <w:autoSpaceDE w:val="0"/>
      <w:autoSpaceDN w:val="0"/>
      <w:adjustRightInd w:val="0"/>
      <w:spacing w:after="240" w:line="240" w:lineRule="auto"/>
      <w:ind w:left="2995" w:hanging="720"/>
      <w:jc w:val="both"/>
      <w:textAlignment w:val="baseline"/>
    </w:pPr>
    <w:rPr>
      <w:rFonts w:cs="Arial" w:eastAsia="Times New Roman"/>
      <w:lang w:eastAsia="en-US"/>
    </w:rPr>
  </w:style>
  <w:style w:type="character" w:styleId="UnresolvedMention">
    <w:name w:val="Unresolved Mention"/>
    <w:basedOn w:val="DefaultParagraphFont"/>
    <w:uiPriority w:val="99"/>
    <w:semiHidden w:val="1"/>
    <w:unhideWhenUsed w:val="1"/>
    <w:rsid w:val="00846D89"/>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YE6gBFMaLbMzMF/5jFeOlXaRuw==">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2023-06-19T12:59:00Z</dcterms:created>
</cp:coreProperties>
</file>